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67F7" w14:textId="2BA2FAD0"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i članka</w:t>
      </w:r>
      <w:r w:rsidR="00892EB1">
        <w:rPr>
          <w:rFonts w:ascii="Times New Roman" w:hAnsi="Times New Roman"/>
          <w:sz w:val="24"/>
          <w:szCs w:val="24"/>
        </w:rPr>
        <w:t xml:space="preserve"> 43.</w:t>
      </w:r>
      <w:r w:rsidRPr="00565CC5">
        <w:rPr>
          <w:rFonts w:ascii="Times New Roman" w:hAnsi="Times New Roman"/>
          <w:sz w:val="24"/>
          <w:szCs w:val="24"/>
        </w:rPr>
        <w:t xml:space="preserve"> Statuta </w:t>
      </w:r>
      <w:r w:rsidR="00892EB1">
        <w:rPr>
          <w:rFonts w:ascii="Times New Roman" w:hAnsi="Times New Roman"/>
          <w:sz w:val="24"/>
          <w:szCs w:val="24"/>
        </w:rPr>
        <w:t>Srednje gospodarske škole Križevci,</w:t>
      </w:r>
      <w:r w:rsidR="00565CC5" w:rsidRPr="00565CC5">
        <w:rPr>
          <w:rFonts w:ascii="Times New Roman" w:hAnsi="Times New Roman"/>
          <w:sz w:val="24"/>
          <w:szCs w:val="24"/>
        </w:rPr>
        <w:t xml:space="preserve"> Školski odbor </w:t>
      </w:r>
      <w:r w:rsidR="00973E77" w:rsidRPr="00565CC5">
        <w:rPr>
          <w:rFonts w:ascii="Times New Roman" w:hAnsi="Times New Roman"/>
          <w:sz w:val="24"/>
          <w:szCs w:val="24"/>
        </w:rPr>
        <w:t xml:space="preserve"> na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47D7CA81"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892EB1">
        <w:rPr>
          <w:rFonts w:ascii="Times New Roman" w:hAnsi="Times New Roman"/>
          <w:sz w:val="24"/>
          <w:szCs w:val="24"/>
        </w:rPr>
        <w:t xml:space="preserve">Srednja gospodarska škola Križevci </w:t>
      </w:r>
      <w:r w:rsidRPr="0044511D">
        <w:rPr>
          <w:rFonts w:ascii="Times New Roman" w:hAnsi="Times New Roman"/>
          <w:sz w:val="24"/>
          <w:szCs w:val="24"/>
        </w:rPr>
        <w:t>(u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 xml:space="preserve">vati načelo slobode kretanja robe, načelo slobode poslovnog </w:t>
      </w:r>
      <w:proofErr w:type="spellStart"/>
      <w:r w:rsidR="00D0727C" w:rsidRPr="0044511D">
        <w:rPr>
          <w:rFonts w:ascii="Times New Roman" w:hAnsi="Times New Roman"/>
          <w:sz w:val="24"/>
          <w:szCs w:val="24"/>
        </w:rPr>
        <w:t>nastana</w:t>
      </w:r>
      <w:proofErr w:type="spellEnd"/>
      <w:r w:rsidR="00D0727C" w:rsidRPr="0044511D">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2D3C9A4" w14:textId="77777777" w:rsidR="00B74F5E" w:rsidRDefault="00B74F5E" w:rsidP="00570058">
      <w:pPr>
        <w:jc w:val="center"/>
        <w:rPr>
          <w:rFonts w:ascii="Times New Roman" w:hAnsi="Times New Roman"/>
          <w:b/>
          <w:sz w:val="24"/>
          <w:szCs w:val="24"/>
        </w:rPr>
      </w:pP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lastRenderedPageBreak/>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lastRenderedPageBreak/>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lastRenderedPageBreak/>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w:t>
      </w:r>
      <w:proofErr w:type="spellStart"/>
      <w:r w:rsidR="00A55B72">
        <w:rPr>
          <w:rFonts w:ascii="Times New Roman" w:hAnsi="Times New Roman"/>
          <w:sz w:val="24"/>
          <w:szCs w:val="24"/>
        </w:rPr>
        <w:t>ica</w:t>
      </w:r>
      <w:proofErr w:type="spellEnd"/>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lastRenderedPageBreak/>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w:t>
      </w:r>
      <w:r w:rsidR="006A1A3D" w:rsidRPr="0044511D">
        <w:rPr>
          <w:rFonts w:ascii="Times New Roman" w:hAnsi="Times New Roman"/>
          <w:sz w:val="24"/>
          <w:szCs w:val="24"/>
        </w:rPr>
        <w:lastRenderedPageBreak/>
        <w:t>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w:t>
      </w:r>
      <w:proofErr w:type="spellStart"/>
      <w:r w:rsidR="00DB1209">
        <w:rPr>
          <w:rFonts w:ascii="Times New Roman" w:hAnsi="Times New Roman"/>
          <w:sz w:val="24"/>
          <w:szCs w:val="24"/>
        </w:rPr>
        <w:t>ica</w:t>
      </w:r>
      <w:proofErr w:type="spellEnd"/>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lastRenderedPageBreak/>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6C22AACB" w:rsidR="00771C12"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08FF1646" w14:textId="77777777" w:rsidR="00DB75B2" w:rsidRPr="0044511D" w:rsidRDefault="00DB75B2" w:rsidP="00DB75B2">
      <w:pPr>
        <w:pStyle w:val="Odlomakpopisa"/>
        <w:spacing w:after="0"/>
        <w:jc w:val="both"/>
        <w:rPr>
          <w:rFonts w:ascii="Times New Roman" w:hAnsi="Times New Roman"/>
          <w:sz w:val="24"/>
          <w:szCs w:val="24"/>
        </w:rPr>
      </w:pPr>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w:t>
      </w:r>
      <w:proofErr w:type="spellStart"/>
      <w:r w:rsidR="00DB1209">
        <w:rPr>
          <w:rFonts w:ascii="Times New Roman" w:hAnsi="Times New Roman"/>
          <w:sz w:val="24"/>
          <w:szCs w:val="24"/>
        </w:rPr>
        <w:t>ici</w:t>
      </w:r>
      <w:proofErr w:type="spellEnd"/>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Ravnatelj/</w:t>
      </w:r>
      <w:proofErr w:type="spellStart"/>
      <w:r>
        <w:rPr>
          <w:rFonts w:ascii="Times New Roman" w:hAnsi="Times New Roman"/>
          <w:sz w:val="24"/>
          <w:szCs w:val="24"/>
        </w:rPr>
        <w:t>ica</w:t>
      </w:r>
      <w:proofErr w:type="spellEnd"/>
      <w:r>
        <w:rPr>
          <w:rFonts w:ascii="Times New Roman" w:hAnsi="Times New Roman"/>
          <w:sz w:val="24"/>
          <w:szCs w:val="24"/>
        </w:rPr>
        <w:t xml:space="preserve">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0FE9643A" w14:textId="1E0396D1" w:rsidR="00D728AD" w:rsidRPr="0044511D" w:rsidRDefault="00E204B2" w:rsidP="00DB75B2">
      <w:pPr>
        <w:jc w:val="both"/>
        <w:rPr>
          <w:rFonts w:ascii="Times New Roman" w:hAnsi="Times New Roman"/>
          <w:sz w:val="24"/>
          <w:szCs w:val="24"/>
        </w:rPr>
      </w:pPr>
      <w:r w:rsidRPr="0044511D">
        <w:rPr>
          <w:rFonts w:ascii="Times New Roman" w:hAnsi="Times New Roman"/>
          <w:sz w:val="24"/>
          <w:szCs w:val="24"/>
        </w:rPr>
        <w:lastRenderedPageBreak/>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1B715302" w14:textId="668011E2" w:rsidR="009F3907"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114C4E16" w14:textId="2FC8BF02" w:rsidR="00FF46DD" w:rsidRPr="0044511D" w:rsidRDefault="00FF46DD" w:rsidP="00FF46DD">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892EB1">
        <w:rPr>
          <w:rFonts w:ascii="Times New Roman" w:hAnsi="Times New Roman"/>
          <w:sz w:val="24"/>
          <w:szCs w:val="24"/>
        </w:rPr>
        <w:t xml:space="preserve"> na oglasnoj ploči </w:t>
      </w:r>
      <w:r w:rsidR="00BC1FC6">
        <w:rPr>
          <w:rFonts w:ascii="Times New Roman" w:hAnsi="Times New Roman"/>
          <w:sz w:val="24"/>
          <w:szCs w:val="24"/>
        </w:rPr>
        <w:t>i internetskoj stranici Naručitelja</w:t>
      </w:r>
      <w:r w:rsidR="00B6168A">
        <w:rPr>
          <w:rFonts w:ascii="Times New Roman" w:hAnsi="Times New Roman"/>
          <w:sz w:val="24"/>
          <w:szCs w:val="24"/>
        </w:rPr>
        <w:t xml:space="preserve"> dana_______</w:t>
      </w:r>
      <w:r w:rsidR="00BC1FC6">
        <w:rPr>
          <w:rFonts w:ascii="Times New Roman" w:hAnsi="Times New Roman"/>
          <w:sz w:val="24"/>
          <w:szCs w:val="24"/>
        </w:rPr>
        <w:t>,</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B6168A">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3C808324" w14:textId="77777777" w:rsidR="00892EB1" w:rsidRPr="00C337CC" w:rsidRDefault="00892EB1" w:rsidP="00892EB1">
      <w:pPr>
        <w:jc w:val="center"/>
        <w:rPr>
          <w:rFonts w:ascii="Times New Roman" w:hAnsi="Times New Roman"/>
          <w:b/>
          <w:bCs/>
          <w:sz w:val="24"/>
          <w:szCs w:val="24"/>
        </w:rPr>
      </w:pPr>
      <w:r w:rsidRPr="00C337CC">
        <w:rPr>
          <w:rFonts w:ascii="Times New Roman" w:hAnsi="Times New Roman"/>
          <w:b/>
          <w:bCs/>
          <w:sz w:val="24"/>
          <w:szCs w:val="24"/>
        </w:rPr>
        <w:t>Članak 22.</w:t>
      </w:r>
    </w:p>
    <w:p w14:paraId="2933D279" w14:textId="001418AF" w:rsidR="00892EB1" w:rsidRPr="004B1FFC" w:rsidRDefault="00892EB1" w:rsidP="00DB75B2">
      <w:pPr>
        <w:pStyle w:val="Bezproreda"/>
        <w:jc w:val="both"/>
        <w:rPr>
          <w:rFonts w:ascii="Times New Roman" w:hAnsi="Times New Roman" w:cs="Times New Roman"/>
          <w:sz w:val="24"/>
          <w:szCs w:val="24"/>
        </w:rPr>
      </w:pPr>
      <w:r w:rsidRPr="004B1FFC">
        <w:rPr>
          <w:rFonts w:ascii="Times New Roman" w:hAnsi="Times New Roman" w:cs="Times New Roman"/>
          <w:sz w:val="24"/>
          <w:szCs w:val="24"/>
        </w:rPr>
        <w:t>Stupanjem na snagu ovoga Pravilnika prestaje važiti Pravilnik o provedbi postupaka jednostavne nabave (</w:t>
      </w:r>
      <w:r w:rsidR="00BD28E2" w:rsidRPr="002636C4">
        <w:rPr>
          <w:rFonts w:ascii="Times New Roman" w:hAnsi="Times New Roman" w:cs="Times New Roman"/>
          <w:sz w:val="24"/>
          <w:szCs w:val="24"/>
        </w:rPr>
        <w:t>KLASA: 012-04/17-01/2</w:t>
      </w:r>
      <w:r w:rsidR="00BD28E2">
        <w:rPr>
          <w:rFonts w:ascii="Times New Roman" w:hAnsi="Times New Roman" w:cs="Times New Roman"/>
          <w:sz w:val="24"/>
          <w:szCs w:val="24"/>
        </w:rPr>
        <w:t xml:space="preserve">, </w:t>
      </w:r>
      <w:r w:rsidR="00BD28E2" w:rsidRPr="002636C4">
        <w:rPr>
          <w:rFonts w:ascii="Times New Roman" w:hAnsi="Times New Roman" w:cs="Times New Roman"/>
          <w:sz w:val="24"/>
          <w:szCs w:val="24"/>
        </w:rPr>
        <w:t>URBROJ: 2137-53-01-17-1</w:t>
      </w:r>
      <w:r w:rsidRPr="004B1FFC">
        <w:rPr>
          <w:rFonts w:ascii="Times New Roman" w:hAnsi="Times New Roman" w:cs="Times New Roman"/>
          <w:sz w:val="24"/>
          <w:szCs w:val="24"/>
        </w:rPr>
        <w:t xml:space="preserve">, od </w:t>
      </w:r>
      <w:r w:rsidR="00BD28E2">
        <w:rPr>
          <w:rFonts w:ascii="Times New Roman" w:hAnsi="Times New Roman" w:cs="Times New Roman"/>
          <w:sz w:val="24"/>
          <w:szCs w:val="24"/>
        </w:rPr>
        <w:t>8</w:t>
      </w:r>
      <w:r w:rsidRPr="004B1FFC">
        <w:rPr>
          <w:rFonts w:ascii="Times New Roman" w:hAnsi="Times New Roman" w:cs="Times New Roman"/>
          <w:sz w:val="24"/>
          <w:szCs w:val="24"/>
        </w:rPr>
        <w:t>. lipnja 2017. godine</w:t>
      </w:r>
      <w:r w:rsidR="00BD28E2">
        <w:rPr>
          <w:rFonts w:ascii="Times New Roman" w:hAnsi="Times New Roman" w:cs="Times New Roman"/>
          <w:sz w:val="24"/>
          <w:szCs w:val="24"/>
        </w:rPr>
        <w:t xml:space="preserve"> s pripadajućim Izmjenama i dopunama</w:t>
      </w:r>
      <w:r w:rsidRPr="004B1FFC">
        <w:rPr>
          <w:rFonts w:ascii="Times New Roman" w:hAnsi="Times New Roman" w:cs="Times New Roman"/>
          <w:sz w:val="24"/>
          <w:szCs w:val="24"/>
        </w:rPr>
        <w:t xml:space="preserve"> </w:t>
      </w:r>
      <w:r w:rsidR="00BD28E2" w:rsidRPr="002636C4">
        <w:rPr>
          <w:rFonts w:ascii="Times New Roman" w:hAnsi="Times New Roman" w:cs="Times New Roman"/>
          <w:sz w:val="24"/>
          <w:szCs w:val="24"/>
        </w:rPr>
        <w:t xml:space="preserve">KLASA: </w:t>
      </w:r>
      <w:r w:rsidR="00BD28E2">
        <w:rPr>
          <w:rFonts w:ascii="Times New Roman" w:hAnsi="Times New Roman" w:cs="Times New Roman"/>
          <w:sz w:val="24"/>
          <w:szCs w:val="24"/>
        </w:rPr>
        <w:t>007-01/23-02/1</w:t>
      </w:r>
      <w:r w:rsidR="00DB75B2">
        <w:rPr>
          <w:rFonts w:ascii="Times New Roman" w:hAnsi="Times New Roman" w:cs="Times New Roman"/>
          <w:sz w:val="24"/>
          <w:szCs w:val="24"/>
        </w:rPr>
        <w:t xml:space="preserve">, </w:t>
      </w:r>
      <w:r w:rsidR="00BD28E2" w:rsidRPr="002636C4">
        <w:rPr>
          <w:rFonts w:ascii="Times New Roman" w:hAnsi="Times New Roman" w:cs="Times New Roman"/>
          <w:sz w:val="24"/>
          <w:szCs w:val="24"/>
        </w:rPr>
        <w:t>URBROJ: 2137-53-</w:t>
      </w:r>
      <w:r w:rsidR="00BD28E2">
        <w:rPr>
          <w:rFonts w:ascii="Times New Roman" w:hAnsi="Times New Roman" w:cs="Times New Roman"/>
          <w:sz w:val="24"/>
          <w:szCs w:val="24"/>
        </w:rPr>
        <w:t>23</w:t>
      </w:r>
      <w:r w:rsidR="00BD28E2" w:rsidRPr="002636C4">
        <w:rPr>
          <w:rFonts w:ascii="Times New Roman" w:hAnsi="Times New Roman" w:cs="Times New Roman"/>
          <w:sz w:val="24"/>
          <w:szCs w:val="24"/>
        </w:rPr>
        <w:t>-1</w:t>
      </w:r>
      <w:r w:rsidR="00BD28E2">
        <w:rPr>
          <w:rFonts w:ascii="Times New Roman" w:hAnsi="Times New Roman" w:cs="Times New Roman"/>
          <w:sz w:val="24"/>
          <w:szCs w:val="24"/>
        </w:rPr>
        <w:t xml:space="preserve"> od 21</w:t>
      </w:r>
      <w:r w:rsidRPr="004B1FFC">
        <w:rPr>
          <w:rFonts w:ascii="Times New Roman" w:hAnsi="Times New Roman" w:cs="Times New Roman"/>
          <w:sz w:val="24"/>
          <w:szCs w:val="24"/>
        </w:rPr>
        <w:t xml:space="preserve">. </w:t>
      </w:r>
      <w:r w:rsidR="00BD28E2">
        <w:rPr>
          <w:rFonts w:ascii="Times New Roman" w:hAnsi="Times New Roman" w:cs="Times New Roman"/>
          <w:sz w:val="24"/>
          <w:szCs w:val="24"/>
        </w:rPr>
        <w:t xml:space="preserve">lipnja </w:t>
      </w:r>
      <w:r w:rsidRPr="004B1FFC">
        <w:rPr>
          <w:rFonts w:ascii="Times New Roman" w:hAnsi="Times New Roman" w:cs="Times New Roman"/>
          <w:sz w:val="24"/>
          <w:szCs w:val="24"/>
        </w:rPr>
        <w:t xml:space="preserve">2023. godine. )                       </w:t>
      </w:r>
    </w:p>
    <w:p w14:paraId="6AE05E6E" w14:textId="77777777" w:rsidR="00F40168" w:rsidRPr="0044511D" w:rsidRDefault="00F40168" w:rsidP="00FC3A52">
      <w:pPr>
        <w:rPr>
          <w:rFonts w:ascii="Times New Roman" w:hAnsi="Times New Roman"/>
          <w:b/>
          <w:sz w:val="24"/>
          <w:szCs w:val="24"/>
        </w:rPr>
      </w:pPr>
    </w:p>
    <w:p w14:paraId="4D7EE060" w14:textId="7E63E516" w:rsidR="00DB75B2" w:rsidRPr="00DB75B2" w:rsidRDefault="00DB75B2" w:rsidP="00DB75B2">
      <w:pPr>
        <w:spacing w:after="0"/>
        <w:jc w:val="both"/>
        <w:rPr>
          <w:rFonts w:ascii="Times New Roman" w:hAnsi="Times New Roman"/>
          <w:sz w:val="24"/>
          <w:szCs w:val="24"/>
        </w:rPr>
      </w:pPr>
      <w:r w:rsidRPr="00DB75B2">
        <w:rPr>
          <w:rFonts w:ascii="Times New Roman" w:hAnsi="Times New Roman"/>
          <w:sz w:val="24"/>
          <w:szCs w:val="24"/>
        </w:rPr>
        <w:t>KLASA: 007-01/26-02/</w:t>
      </w:r>
      <w:r>
        <w:rPr>
          <w:rFonts w:ascii="Times New Roman" w:hAnsi="Times New Roman"/>
          <w:sz w:val="24"/>
          <w:szCs w:val="24"/>
        </w:rPr>
        <w:t>3</w:t>
      </w:r>
    </w:p>
    <w:p w14:paraId="2CD3D7A3" w14:textId="77777777" w:rsidR="00DB75B2" w:rsidRDefault="00DB75B2" w:rsidP="00DB75B2">
      <w:pPr>
        <w:spacing w:after="0"/>
        <w:jc w:val="both"/>
        <w:rPr>
          <w:rFonts w:ascii="Times New Roman" w:hAnsi="Times New Roman"/>
          <w:sz w:val="24"/>
          <w:szCs w:val="24"/>
        </w:rPr>
      </w:pPr>
      <w:r w:rsidRPr="00DB75B2">
        <w:rPr>
          <w:rFonts w:ascii="Times New Roman" w:hAnsi="Times New Roman"/>
          <w:sz w:val="24"/>
          <w:szCs w:val="24"/>
        </w:rPr>
        <w:t xml:space="preserve">URBROJ: 2137-53-26-1 </w:t>
      </w:r>
    </w:p>
    <w:p w14:paraId="6790348A" w14:textId="22BC4C9D" w:rsidR="00D0727C" w:rsidRPr="0044511D" w:rsidRDefault="003E6635" w:rsidP="00DB75B2">
      <w:pPr>
        <w:spacing w:after="0"/>
        <w:jc w:val="both"/>
        <w:rPr>
          <w:rFonts w:ascii="Times New Roman" w:hAnsi="Times New Roman"/>
          <w:sz w:val="24"/>
          <w:szCs w:val="24"/>
        </w:rPr>
      </w:pPr>
      <w:r w:rsidRPr="0044511D">
        <w:rPr>
          <w:rFonts w:ascii="Times New Roman" w:hAnsi="Times New Roman"/>
          <w:sz w:val="24"/>
          <w:szCs w:val="24"/>
        </w:rPr>
        <w:t>U K</w:t>
      </w:r>
      <w:r w:rsidR="00BC1FC6">
        <w:rPr>
          <w:rFonts w:ascii="Times New Roman" w:hAnsi="Times New Roman"/>
          <w:sz w:val="24"/>
          <w:szCs w:val="24"/>
        </w:rPr>
        <w:t>riževcima</w:t>
      </w:r>
      <w:r w:rsidRPr="0044511D">
        <w:rPr>
          <w:rFonts w:ascii="Times New Roman" w:hAnsi="Times New Roman"/>
          <w:sz w:val="24"/>
          <w:szCs w:val="24"/>
        </w:rPr>
        <w:t xml:space="preserve">,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61F920FC"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ŠKOLSKOG ODBORA:</w:t>
      </w:r>
    </w:p>
    <w:p w14:paraId="2D7340FC" w14:textId="6C6F4DB5" w:rsidR="00BC1FC6" w:rsidRDefault="00BC1FC6" w:rsidP="00565CC5">
      <w:pPr>
        <w:ind w:left="3540" w:firstLine="708"/>
        <w:jc w:val="center"/>
        <w:rPr>
          <w:rFonts w:ascii="Times New Roman" w:hAnsi="Times New Roman"/>
          <w:sz w:val="24"/>
          <w:szCs w:val="24"/>
        </w:rPr>
      </w:pPr>
      <w:r>
        <w:rPr>
          <w:rFonts w:ascii="Times New Roman" w:hAnsi="Times New Roman"/>
          <w:sz w:val="24"/>
          <w:szCs w:val="24"/>
        </w:rPr>
        <w:t>Nataša Mikinac, prof.</w:t>
      </w:r>
    </w:p>
    <w:p w14:paraId="7B58D451" w14:textId="77777777" w:rsidR="00DB75B2" w:rsidRPr="00E06129" w:rsidRDefault="00DB75B2" w:rsidP="00DB75B2">
      <w:pPr>
        <w:pStyle w:val="Bezproreda"/>
        <w:rPr>
          <w:sz w:val="24"/>
          <w:szCs w:val="24"/>
        </w:rPr>
      </w:pPr>
    </w:p>
    <w:p w14:paraId="0EEE145D" w14:textId="77777777" w:rsidR="00DB75B2" w:rsidRPr="00E06129" w:rsidRDefault="00DB75B2" w:rsidP="00DB75B2">
      <w:pPr>
        <w:pStyle w:val="Bezproreda"/>
        <w:rPr>
          <w:sz w:val="24"/>
          <w:szCs w:val="24"/>
        </w:rPr>
      </w:pPr>
    </w:p>
    <w:p w14:paraId="51BEC5FA" w14:textId="59587733" w:rsidR="00DB75B2" w:rsidRDefault="00DB75B2" w:rsidP="00DB75B2">
      <w:pPr>
        <w:pStyle w:val="Bezproreda"/>
        <w:jc w:val="both"/>
        <w:rPr>
          <w:sz w:val="24"/>
          <w:szCs w:val="24"/>
        </w:rPr>
      </w:pPr>
      <w:r>
        <w:rPr>
          <w:sz w:val="24"/>
          <w:szCs w:val="24"/>
        </w:rPr>
        <w:tab/>
      </w:r>
    </w:p>
    <w:p w14:paraId="1EBDE69B" w14:textId="77777777" w:rsidR="00DB75B2" w:rsidRPr="00E06129" w:rsidRDefault="00DB75B2" w:rsidP="00DB75B2">
      <w:pPr>
        <w:pStyle w:val="Bezproreda"/>
        <w:rPr>
          <w:sz w:val="24"/>
          <w:szCs w:val="24"/>
        </w:rPr>
      </w:pPr>
      <w:r w:rsidRPr="00E06129">
        <w:rPr>
          <w:sz w:val="24"/>
          <w:szCs w:val="24"/>
        </w:rPr>
        <w:t xml:space="preserve"> </w:t>
      </w:r>
    </w:p>
    <w:sectPr w:rsidR="00DB75B2" w:rsidRPr="00E06129"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1163" w14:textId="77777777" w:rsidR="00DF1B7E" w:rsidRDefault="00DF1B7E" w:rsidP="00102AF0">
      <w:pPr>
        <w:spacing w:after="0" w:line="240" w:lineRule="auto"/>
      </w:pPr>
      <w:r>
        <w:separator/>
      </w:r>
    </w:p>
  </w:endnote>
  <w:endnote w:type="continuationSeparator" w:id="0">
    <w:p w14:paraId="360CA0A6" w14:textId="77777777" w:rsidR="00DF1B7E" w:rsidRDefault="00DF1B7E"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EFCA" w14:textId="77777777" w:rsidR="00DF1B7E" w:rsidRDefault="00DF1B7E" w:rsidP="00102AF0">
      <w:pPr>
        <w:spacing w:after="0" w:line="240" w:lineRule="auto"/>
      </w:pPr>
      <w:r>
        <w:separator/>
      </w:r>
    </w:p>
  </w:footnote>
  <w:footnote w:type="continuationSeparator" w:id="0">
    <w:p w14:paraId="17F3D044" w14:textId="77777777" w:rsidR="00DF1B7E" w:rsidRDefault="00DF1B7E"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4770111">
    <w:abstractNumId w:val="7"/>
  </w:num>
  <w:num w:numId="2" w16cid:durableId="2031711469">
    <w:abstractNumId w:val="8"/>
  </w:num>
  <w:num w:numId="3" w16cid:durableId="559291785">
    <w:abstractNumId w:val="0"/>
  </w:num>
  <w:num w:numId="4" w16cid:durableId="1004168046">
    <w:abstractNumId w:val="3"/>
  </w:num>
  <w:num w:numId="5" w16cid:durableId="1204100491">
    <w:abstractNumId w:val="6"/>
  </w:num>
  <w:num w:numId="6" w16cid:durableId="1117716861">
    <w:abstractNumId w:val="2"/>
  </w:num>
  <w:num w:numId="7" w16cid:durableId="9797502">
    <w:abstractNumId w:val="5"/>
  </w:num>
  <w:num w:numId="8" w16cid:durableId="1220090271">
    <w:abstractNumId w:val="1"/>
  </w:num>
  <w:num w:numId="9" w16cid:durableId="692997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571F"/>
    <w:rsid w:val="000C7EE2"/>
    <w:rsid w:val="000D2B04"/>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2EB1"/>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1E23"/>
    <w:rsid w:val="00B56A90"/>
    <w:rsid w:val="00B61303"/>
    <w:rsid w:val="00B6168A"/>
    <w:rsid w:val="00B6674B"/>
    <w:rsid w:val="00B74F5E"/>
    <w:rsid w:val="00B87518"/>
    <w:rsid w:val="00B9631A"/>
    <w:rsid w:val="00B96A20"/>
    <w:rsid w:val="00BA7F83"/>
    <w:rsid w:val="00BC1FC6"/>
    <w:rsid w:val="00BC4F14"/>
    <w:rsid w:val="00BD28E2"/>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B75B2"/>
    <w:rsid w:val="00DD23E0"/>
    <w:rsid w:val="00DE7F99"/>
    <w:rsid w:val="00DF0153"/>
    <w:rsid w:val="00DF1B7E"/>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 w:type="paragraph" w:styleId="Bezproreda">
    <w:name w:val="No Spacing"/>
    <w:uiPriority w:val="1"/>
    <w:qFormat/>
    <w:rsid w:val="00892EB1"/>
    <w:rPr>
      <w:rFonts w:asciiTheme="minorHAnsi" w:eastAsiaTheme="minorHAnsi" w:hAnsiTheme="minorHAnsi" w:cstheme="minorBid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2446</Words>
  <Characters>13946</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Dijana Janeš</cp:lastModifiedBy>
  <cp:revision>2</cp:revision>
  <cp:lastPrinted>2026-05-22T12:01:00Z</cp:lastPrinted>
  <dcterms:created xsi:type="dcterms:W3CDTF">2026-07-01T10:24:00Z</dcterms:created>
  <dcterms:modified xsi:type="dcterms:W3CDTF">2026-07-01T10:24:00Z</dcterms:modified>
</cp:coreProperties>
</file>